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B7295">
        <w:rPr>
          <w:rFonts w:ascii="Roboto Light" w:hAnsi="Roboto Light"/>
          <w:b/>
          <w:sz w:val="20"/>
          <w:szCs w:val="20"/>
          <w:u w:val="single"/>
        </w:rPr>
        <w:t>t CV Bahnenbelag</w:t>
      </w:r>
      <w:r w:rsidRPr="003823AF">
        <w:rPr>
          <w:rFonts w:ascii="Roboto Light" w:hAnsi="Roboto Light"/>
          <w:b/>
          <w:sz w:val="20"/>
          <w:szCs w:val="20"/>
          <w:u w:val="single"/>
        </w:rPr>
        <w:t xml:space="preserve"> 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091501">
        <w:rPr>
          <w:rFonts w:ascii="Roboto Light" w:hAnsi="Roboto Light"/>
          <w:b/>
          <w:sz w:val="20"/>
          <w:szCs w:val="20"/>
          <w:u w:val="single"/>
        </w:rPr>
        <w:t>UF D5</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C6650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C6650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BF2CF7">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BF2CF7">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 xml:space="preserve">Schichtdicke </w:t>
            </w:r>
            <w:r w:rsidR="00C66505">
              <w:rPr>
                <w:rFonts w:ascii="Roboto Light" w:hAnsi="Roboto Light"/>
                <w:sz w:val="20"/>
                <w:szCs w:val="20"/>
                <w:lang w:bidi="de-DE"/>
              </w:rPr>
              <w:t xml:space="preserve">mindestens 2 mm, </w:t>
            </w:r>
            <w:r>
              <w:rPr>
                <w:rFonts w:ascii="Roboto Light" w:hAnsi="Roboto Light"/>
                <w:sz w:val="20"/>
                <w:szCs w:val="20"/>
                <w:lang w:bidi="de-DE"/>
              </w:rPr>
              <w:t>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C66505" w:rsidRPr="00C50484" w:rsidRDefault="00C66505"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E25DCC">
        <w:trPr>
          <w:trHeight w:val="2377"/>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8B7295" w:rsidP="009805C7">
            <w:pPr>
              <w:rPr>
                <w:rFonts w:ascii="Roboto Light" w:hAnsi="Roboto Light"/>
                <w:b/>
                <w:sz w:val="20"/>
                <w:szCs w:val="20"/>
                <w:lang w:bidi="de-DE"/>
              </w:rPr>
            </w:pPr>
            <w:r w:rsidRPr="008B7295">
              <w:rPr>
                <w:rFonts w:ascii="Roboto Light" w:hAnsi="Roboto Light"/>
                <w:b/>
                <w:sz w:val="20"/>
                <w:szCs w:val="20"/>
                <w:lang w:bidi="de-DE"/>
              </w:rPr>
              <w:t>CV Bahnenbelag</w:t>
            </w:r>
            <w:r w:rsidR="00E25DCC" w:rsidRPr="008B7295">
              <w:rPr>
                <w:rFonts w:ascii="Roboto Light" w:hAnsi="Roboto Light"/>
                <w:b/>
                <w:sz w:val="20"/>
                <w:szCs w:val="20"/>
                <w:lang w:bidi="de-DE"/>
              </w:rPr>
              <w:t>,</w:t>
            </w:r>
            <w:r w:rsidR="00E25DCC" w:rsidRPr="00AC5A2A">
              <w:rPr>
                <w:rFonts w:ascii="Roboto Light" w:hAnsi="Roboto Light"/>
                <w:b/>
                <w:sz w:val="20"/>
                <w:szCs w:val="20"/>
                <w:lang w:bidi="de-DE"/>
              </w:rPr>
              <w:t xml:space="preserve"> liefern und </w:t>
            </w:r>
            <w:r w:rsidR="003823AF" w:rsidRPr="00AC5A2A">
              <w:rPr>
                <w:rFonts w:ascii="Roboto Light" w:hAnsi="Roboto Light"/>
                <w:b/>
                <w:sz w:val="20"/>
                <w:szCs w:val="20"/>
                <w:lang w:bidi="de-DE"/>
              </w:rPr>
              <w:t xml:space="preserve">verkleben mit </w:t>
            </w:r>
            <w:r w:rsidR="004A2B3F" w:rsidRPr="00AC5A2A">
              <w:rPr>
                <w:rFonts w:ascii="Roboto Light" w:hAnsi="Roboto Light"/>
                <w:b/>
                <w:sz w:val="20"/>
                <w:szCs w:val="20"/>
                <w:lang w:bidi="de-DE"/>
              </w:rPr>
              <w:t>dispersionsbasiertem Nassbettklebstoff STAUF D5</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601A23" w:rsidRPr="00AC5A2A" w:rsidRDefault="00601A23" w:rsidP="009805C7">
            <w:pPr>
              <w:rPr>
                <w:rFonts w:ascii="Roboto Light" w:hAnsi="Roboto Light"/>
                <w:sz w:val="20"/>
                <w:szCs w:val="20"/>
                <w:lang w:bidi="de-DE"/>
              </w:rPr>
            </w:pPr>
            <w:r w:rsidRPr="00AC5A2A">
              <w:rPr>
                <w:rFonts w:ascii="Roboto Light" w:hAnsi="Roboto Light"/>
                <w:sz w:val="20"/>
                <w:szCs w:val="20"/>
                <w:lang w:bidi="de-DE"/>
              </w:rPr>
              <w:t>Abmessungen:</w:t>
            </w:r>
          </w:p>
          <w:p w:rsidR="003823AF" w:rsidRPr="00AC5A2A" w:rsidRDefault="003823AF" w:rsidP="004A2B3F">
            <w:pPr>
              <w:rPr>
                <w:rFonts w:ascii="Roboto Light" w:hAnsi="Roboto Light"/>
                <w:b/>
                <w:sz w:val="20"/>
                <w:szCs w:val="20"/>
                <w:lang w:bidi="de-DE"/>
              </w:rPr>
            </w:pP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dispersionsbasiertem Nassbettklebstoff STAUF D5</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Endfestigkeit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sehr gute Anfangshaftung</w:t>
            </w:r>
          </w:p>
          <w:p w:rsid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Maßhaltigkeit</w:t>
            </w:r>
          </w:p>
          <w:p w:rsidR="00A11602" w:rsidRPr="00A11602" w:rsidRDefault="004A2B3F" w:rsidP="004A2B3F">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BF2CF7">
              <w:rPr>
                <w:rFonts w:ascii="Roboto Light" w:hAnsi="Roboto Light"/>
                <w:sz w:val="20"/>
                <w:szCs w:val="20"/>
                <w:vertAlign w:val="superscript"/>
                <w:lang w:bidi="de-DE"/>
              </w:rPr>
              <w:t>plus</w:t>
            </w:r>
            <w:bookmarkStart w:id="0" w:name="_GoBack"/>
            <w:bookmarkEnd w:id="0"/>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917B44">
              <w:rPr>
                <w:rFonts w:ascii="Roboto Light" w:hAnsi="Roboto Light"/>
                <w:sz w:val="20"/>
                <w:szCs w:val="20"/>
                <w:lang w:bidi="de-DE"/>
              </w:rPr>
              <w:t>chtel STAUF Nr.1 (TKB A2) ca. 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2003F" w:rsidRPr="00E2003F" w:rsidRDefault="00E2003F" w:rsidP="00E2003F">
            <w:pPr>
              <w:pStyle w:val="Listenabsatz"/>
              <w:rPr>
                <w:rFonts w:ascii="Roboto Light" w:hAnsi="Roboto Light"/>
                <w:sz w:val="20"/>
                <w:szCs w:val="20"/>
                <w:lang w:bidi="de-DE"/>
              </w:rPr>
            </w:pPr>
          </w:p>
          <w:p w:rsidR="00E2003F" w:rsidRPr="00E2003F" w:rsidRDefault="00E2003F" w:rsidP="00E2003F">
            <w:pPr>
              <w:rPr>
                <w:rFonts w:ascii="Roboto Light" w:hAnsi="Roboto Light"/>
                <w:sz w:val="20"/>
                <w:szCs w:val="20"/>
                <w:lang w:bidi="de-DE"/>
              </w:rPr>
            </w:pPr>
            <w:r>
              <w:rPr>
                <w:rFonts w:ascii="Roboto Light" w:hAnsi="Roboto Light"/>
                <w:sz w:val="20"/>
                <w:szCs w:val="20"/>
                <w:lang w:bidi="de-DE"/>
              </w:rPr>
              <w:t>Angebotener Bodenbelagsklebstoff</w:t>
            </w:r>
            <w:r w:rsidRPr="00E2003F">
              <w:rPr>
                <w:rFonts w:ascii="Roboto Light" w:hAnsi="Roboto Light"/>
                <w:sz w:val="20"/>
                <w:szCs w:val="20"/>
                <w:lang w:bidi="de-DE"/>
              </w:rPr>
              <w:t>: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33422"/>
    <w:rsid w:val="007404FD"/>
    <w:rsid w:val="007839E0"/>
    <w:rsid w:val="007A7811"/>
    <w:rsid w:val="007B15F0"/>
    <w:rsid w:val="0083738E"/>
    <w:rsid w:val="00857F4D"/>
    <w:rsid w:val="008713AF"/>
    <w:rsid w:val="00890F4C"/>
    <w:rsid w:val="008B7295"/>
    <w:rsid w:val="008D0817"/>
    <w:rsid w:val="00917B44"/>
    <w:rsid w:val="0092378F"/>
    <w:rsid w:val="0093407E"/>
    <w:rsid w:val="00976C5A"/>
    <w:rsid w:val="009805C7"/>
    <w:rsid w:val="009E4E9E"/>
    <w:rsid w:val="00A11602"/>
    <w:rsid w:val="00A11732"/>
    <w:rsid w:val="00A75915"/>
    <w:rsid w:val="00A8129B"/>
    <w:rsid w:val="00A9264E"/>
    <w:rsid w:val="00AC5A2A"/>
    <w:rsid w:val="00BD75C0"/>
    <w:rsid w:val="00BF2CF7"/>
    <w:rsid w:val="00C0608C"/>
    <w:rsid w:val="00C13EAB"/>
    <w:rsid w:val="00C22A26"/>
    <w:rsid w:val="00C50484"/>
    <w:rsid w:val="00C56C06"/>
    <w:rsid w:val="00C66505"/>
    <w:rsid w:val="00C7129F"/>
    <w:rsid w:val="00C73E09"/>
    <w:rsid w:val="00D01AE9"/>
    <w:rsid w:val="00D4584C"/>
    <w:rsid w:val="00D501D6"/>
    <w:rsid w:val="00DD3117"/>
    <w:rsid w:val="00DE79C0"/>
    <w:rsid w:val="00E0237F"/>
    <w:rsid w:val="00E2003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28</cp:revision>
  <dcterms:created xsi:type="dcterms:W3CDTF">2020-07-02T06:26:00Z</dcterms:created>
  <dcterms:modified xsi:type="dcterms:W3CDTF">2021-05-31T12:29:00Z</dcterms:modified>
</cp:coreProperties>
</file>