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012ABB" w:rsidRPr="00012ABB">
        <w:rPr>
          <w:rFonts w:ascii="Roboto Light" w:hAnsi="Roboto Light"/>
          <w:b/>
          <w:sz w:val="20"/>
          <w:szCs w:val="20"/>
          <w:u w:val="single"/>
        </w:rPr>
        <w:t xml:space="preserve">PVC-Designbelag (LVT)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746E7D">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746E7D">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647DB7" w:rsidRDefault="00647DB7" w:rsidP="00647DB7">
            <w:pPr>
              <w:pStyle w:val="Listenabsatz"/>
              <w:rPr>
                <w:rFonts w:ascii="Roboto Light" w:hAnsi="Roboto Light"/>
                <w:sz w:val="20"/>
                <w:szCs w:val="20"/>
                <w:lang w:bidi="de-DE"/>
              </w:rPr>
            </w:pPr>
          </w:p>
          <w:p w:rsidR="00647DB7" w:rsidRPr="009C3F59" w:rsidRDefault="00647DB7" w:rsidP="00647DB7">
            <w:pPr>
              <w:rPr>
                <w:rFonts w:ascii="Roboto Light" w:hAnsi="Roboto Light"/>
                <w:sz w:val="20"/>
                <w:szCs w:val="20"/>
                <w:lang w:bidi="de-DE"/>
              </w:rPr>
            </w:pPr>
            <w:r w:rsidRPr="00647DB7">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1E58BA">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1E58BA" w:rsidRPr="008405DA" w:rsidRDefault="001E58BA"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647DB7" w:rsidRDefault="00647DB7" w:rsidP="00647DB7">
            <w:pPr>
              <w:pStyle w:val="Listenabsatz"/>
              <w:rPr>
                <w:rFonts w:ascii="Roboto Light" w:hAnsi="Roboto Light"/>
                <w:sz w:val="20"/>
                <w:szCs w:val="20"/>
                <w:lang w:bidi="de-DE"/>
              </w:rPr>
            </w:pPr>
          </w:p>
          <w:p w:rsidR="00647DB7" w:rsidRPr="008405DA" w:rsidRDefault="00647DB7" w:rsidP="00647DB7">
            <w:pPr>
              <w:rPr>
                <w:rFonts w:ascii="Roboto Light" w:hAnsi="Roboto Light"/>
                <w:sz w:val="20"/>
                <w:szCs w:val="20"/>
                <w:lang w:bidi="de-DE"/>
              </w:rPr>
            </w:pPr>
            <w:r>
              <w:rPr>
                <w:rFonts w:ascii="Roboto Light" w:hAnsi="Roboto Light"/>
                <w:sz w:val="20"/>
                <w:szCs w:val="20"/>
                <w:lang w:bidi="de-DE"/>
              </w:rPr>
              <w:t>Angebotene Spachtelmasse</w:t>
            </w:r>
            <w:r w:rsidRPr="00647DB7">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DC62FC" w:rsidP="00DC62FC">
            <w:pPr>
              <w:rPr>
                <w:rFonts w:ascii="Roboto Light" w:hAnsi="Roboto Light"/>
                <w:b/>
                <w:sz w:val="20"/>
                <w:szCs w:val="20"/>
                <w:lang w:bidi="de-DE"/>
              </w:rPr>
            </w:pPr>
            <w:r w:rsidRPr="00DC62FC">
              <w:rPr>
                <w:rFonts w:ascii="Roboto Light" w:hAnsi="Roboto Light"/>
                <w:b/>
                <w:sz w:val="20"/>
                <w:szCs w:val="20"/>
                <w:lang w:bidi="de-DE"/>
              </w:rPr>
              <w:t>PVC-Designbelag (LVT), 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746E7D">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647DB7" w:rsidRDefault="00647DB7" w:rsidP="00647DB7">
            <w:pPr>
              <w:pStyle w:val="Listenabsatz"/>
              <w:rPr>
                <w:rFonts w:ascii="Roboto Light" w:hAnsi="Roboto Light"/>
                <w:sz w:val="20"/>
                <w:szCs w:val="20"/>
                <w:lang w:bidi="de-DE"/>
              </w:rPr>
            </w:pPr>
          </w:p>
          <w:p w:rsidR="00647DB7" w:rsidRPr="001B1A80" w:rsidRDefault="00647DB7" w:rsidP="00647DB7">
            <w:pPr>
              <w:rPr>
                <w:rFonts w:ascii="Roboto Light" w:hAnsi="Roboto Light"/>
                <w:sz w:val="20"/>
                <w:szCs w:val="20"/>
                <w:lang w:bidi="de-DE"/>
              </w:rPr>
            </w:pPr>
            <w:r>
              <w:rPr>
                <w:rFonts w:ascii="Roboto Light" w:hAnsi="Roboto Light"/>
                <w:sz w:val="20"/>
                <w:szCs w:val="20"/>
                <w:lang w:bidi="de-DE"/>
              </w:rPr>
              <w:t>Angebotene Bodenbelagsklebstoff</w:t>
            </w:r>
            <w:r w:rsidRPr="00647DB7">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E58BA"/>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47DB7"/>
    <w:rsid w:val="00667567"/>
    <w:rsid w:val="006B68B9"/>
    <w:rsid w:val="006E6829"/>
    <w:rsid w:val="00733422"/>
    <w:rsid w:val="007404FD"/>
    <w:rsid w:val="00746E7D"/>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41669"/>
    <w:rsid w:val="00C56C06"/>
    <w:rsid w:val="00C666BB"/>
    <w:rsid w:val="00C7129F"/>
    <w:rsid w:val="00D4584C"/>
    <w:rsid w:val="00D65966"/>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2021-02-04T13:34:00Z</dcterms:created>
  <dcterms:modified xsi:type="dcterms:W3CDTF">2021-05-31T12:50:00Z</dcterms:modified>
</cp:coreProperties>
</file>